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Приложение 5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68"/>
        <w:ind w:left="4678"/>
        <w:tabs>
          <w:tab w:val="left" w:pos="4678" w:leader="none"/>
        </w:tabs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УТВЕРЖДЕН</w:t>
      </w:r>
      <w:r>
        <w:rPr>
          <w:rFonts w:ascii="Times New Roman" w:hAnsi="Times New Roman" w:cs="Times New Roman"/>
          <w:b w:val="0"/>
          <w:bCs/>
          <w:sz w:val="26"/>
          <w:szCs w:val="26"/>
        </w:rPr>
      </w:r>
      <w:r>
        <w:rPr>
          <w:rFonts w:ascii="Times New Roman" w:hAnsi="Times New Roman" w:cs="Times New Roman"/>
          <w:b w:val="0"/>
          <w:bCs/>
          <w:sz w:val="26"/>
          <w:szCs w:val="26"/>
        </w:rPr>
      </w:r>
    </w:p>
    <w:p>
      <w:pPr>
        <w:ind w:left="4678"/>
        <w:jc w:val="both"/>
        <w:spacing w:after="0" w:line="240" w:lineRule="auto"/>
        <w:widowControl w:val="off"/>
        <w:tabs>
          <w:tab w:val="left" w:pos="467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постановлением Правительства Республики Хакасия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>
        <w:rPr>
          <w:rFonts w:ascii="Times New Roman" w:hAnsi="Times New Roman" w:cs="Times New Roman"/>
          <w:bCs/>
          <w:sz w:val="26"/>
          <w:szCs w:val="26"/>
        </w:rPr>
        <w:t xml:space="preserve">О некоторых вопросах ответственного ведения бизнеса в Республике Хакасия</w:t>
      </w:r>
      <w:r>
        <w:rPr>
          <w:rFonts w:ascii="Times New Roman" w:hAnsi="Times New Roman" w:cs="Times New Roman"/>
          <w:bCs/>
          <w:sz w:val="26"/>
          <w:szCs w:val="26"/>
        </w:rPr>
        <w:t xml:space="preserve">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предоставления мер государственной поддержки ответственным субъектам предпринимательской деятельности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Республике Хакасия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yellow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 Порядок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предоставления мер государственной поддержки ответственным субъектам предпринимательской деятельности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Республике Хакасия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устанавлива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взаимодействие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Министерства экономического развития Республики Хакасия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далее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полномоченн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ответственного субъекта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предпринимательской деятельности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(далее –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аявитель)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исполнительных органов Республики Хакасия, подведомственных им организаций, а также иных организаций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 предоставлении мер государственной поддержки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аявите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лю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yellow"/>
        </w:rPr>
      </w:r>
      <w:r>
        <w:rPr>
          <w:rFonts w:ascii="Times New Roman" w:hAnsi="Times New Roman" w:eastAsia="Times New Roman" w:cs="Times New Roman"/>
          <w:sz w:val="26"/>
          <w:szCs w:val="26"/>
          <w:highlight w:val="yellow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Уполномоченный орган размещает на официальном сайте в сети Интернет актуальную информацию о мерах государственной подде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ржки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указанием контактной информации исполнительных органов Республики Хакасия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подведомственных им организаций, предоставляющих указанные меры государственной поддержки, включая информацию 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адресе местонахождения, почтовом адресе, официальном сайт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 в сети Интернет, адресе электронной почты, номерах телефонов справочных служб.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Исполнительные органы Республики Хакасия и подведомственные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им организации размещают на официальных сайтах в сети Интернет актуальную подробную информацию о порядке и условиях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получения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аявителем мер государственной поддержки, предоставляемых соответствующим исполнительным органом Республики Хакасия или подведомственной организацией, а также контактную информацию о структурном подразделении исполнительного органа Республики Ха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касия, уполномоченного на рассмотрение обращений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аявителя.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Исполнительные органы Республики Хакасия и подведомственные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им организации осуществляют устное и письменное консультирование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аявителей по вопросам предоставляемых ими мер государственной поддержк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ащение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аявителей о предоставлении меры государственной поддержки (далее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бращение), поступившие в исполнительные органы Республики Хакасия, подлежат обязательному рассмотрению. По результатам рассмотрения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бращения принимается одно из следующих решений: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принятие к рассмотрению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бращения;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возврат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бращения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аявителю;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перенаправление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бращения в исполнительный орган Республики Хакасия</w:t>
        <w:br/>
        <w:t xml:space="preserve">в соответствии с компетенциями.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6. О принятом решении исполнительный орган Республики Хакасия или подведомственная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ему организация письменно уведомляет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аявителя в течение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пяти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бочих дней со дня регистрации такого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бращения.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7. Принятие решения о возврате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бращения осуществляется в случае, если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аявителем не соблюден порядок и (или) условия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бращения за мерой государственной поддержки, установленные законодательством Российской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Федерации и Республики Хакасия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8. Перенаправлени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бращения осуществляется в случае, если предоставление меры государственной поддержки не входит в компетенцию исполнительного органа Республики Хакасия или подведомственной ему организации.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9. Исполнительные органы Республики Хакасия и подведомственные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 организации предоставляют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полномоченный орган информацию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об изменениях порядка и (или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) условий предоставления мер государственной поддержки не позднее 10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рабочих дней с даты принятия соответствующих изменен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10. Исполнительные органы Респуб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лики Хакасия и подведомственные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br/>
        <w:t xml:space="preserve">им организации ежемесячно не позднее 10 числа месяца направляют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br/>
        <w:t xml:space="preserve">в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полномоченный орган информацию о поступивших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бращениях, в том числе информацию о дате регистрации такого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бращения,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аявителе, мере государственной поддержк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и, содержащейся в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бращении, и принятом решении,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br/>
        <w:t xml:space="preserve">а также иную информацию по запросу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полномоченного органа.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pgNumType w:start="1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712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2"/>
    <w:next w:val="862"/>
    <w:link w:val="68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7">
    <w:name w:val="Heading 1 Char"/>
    <w:link w:val="68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8">
    <w:name w:val="Heading 2"/>
    <w:basedOn w:val="862"/>
    <w:next w:val="862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9">
    <w:name w:val="Heading 2 Char"/>
    <w:link w:val="688"/>
    <w:uiPriority w:val="9"/>
    <w:rPr>
      <w:rFonts w:ascii="Liberation Sans" w:hAnsi="Liberation Sans" w:eastAsia="Liberation Sans" w:cs="Liberation Sans"/>
      <w:sz w:val="34"/>
    </w:rPr>
  </w:style>
  <w:style w:type="paragraph" w:styleId="690">
    <w:name w:val="Heading 3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1">
    <w:name w:val="Heading 3 Char"/>
    <w:link w:val="69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2">
    <w:name w:val="Heading 4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4">
    <w:name w:val="Heading 5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6">
    <w:name w:val="Heading 6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8">
    <w:name w:val="Heading 7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0">
    <w:name w:val="Heading 8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2">
    <w:name w:val="Heading 9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1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2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6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7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8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9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20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1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22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3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>
    <w:name w:val="No Spacing"/>
    <w:basedOn w:val="862"/>
    <w:uiPriority w:val="1"/>
    <w:qFormat/>
    <w:pPr>
      <w:spacing w:after="0" w:line="240" w:lineRule="auto"/>
    </w:pPr>
  </w:style>
  <w:style w:type="paragraph" w:styleId="866">
    <w:name w:val="List Paragraph"/>
    <w:basedOn w:val="862"/>
    <w:uiPriority w:val="34"/>
    <w:qFormat/>
    <w:pPr>
      <w:contextualSpacing/>
      <w:ind w:left="720"/>
    </w:pPr>
  </w:style>
  <w:style w:type="character" w:styleId="867" w:default="1">
    <w:name w:val="Default Paragraph Font"/>
    <w:uiPriority w:val="1"/>
    <w:semiHidden/>
    <w:unhideWhenUsed/>
  </w:style>
  <w:style w:type="paragraph" w:styleId="868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Пользователь11</cp:lastModifiedBy>
  <cp:revision>13</cp:revision>
  <dcterms:modified xsi:type="dcterms:W3CDTF">2026-05-19T04:04:50Z</dcterms:modified>
</cp:coreProperties>
</file>